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ind w:left="883" w:hanging="640" w:hangingChars="200"/>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rPr>
        <w:t>：</w:t>
      </w:r>
    </w:p>
    <w:p>
      <w:pPr>
        <w:jc w:val="left"/>
        <w:rPr>
          <w:rFonts w:hint="default" w:ascii="方正小标宋简体" w:hAnsi="方正小标宋简体" w:eastAsia="方正小标宋简体" w:cs="方正小标宋简体"/>
          <w:sz w:val="36"/>
          <w:szCs w:val="36"/>
          <w:lang w:val="en-US"/>
        </w:rPr>
      </w:pPr>
      <w:r>
        <w:rPr>
          <w:rFonts w:hint="eastAsia" w:ascii="仿宋" w:hAnsi="仿宋" w:eastAsia="仿宋" w:cs="仿宋"/>
          <w:sz w:val="28"/>
          <w:szCs w:val="28"/>
          <w:lang w:val="en-US" w:eastAsia="zh-CN"/>
        </w:rPr>
        <w:t>说明：仅勾选本单位承担任务的进展情况即可。</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学校“十四五”发展规划</w:t>
      </w:r>
      <w:r>
        <w:rPr>
          <w:rFonts w:hint="eastAsia" w:ascii="方正小标宋简体" w:hAnsi="方正小标宋简体" w:eastAsia="方正小标宋简体" w:cs="方正小标宋简体"/>
          <w:sz w:val="36"/>
          <w:szCs w:val="36"/>
          <w:lang w:val="en-US" w:eastAsia="zh-CN"/>
        </w:rPr>
        <w:t>任务</w:t>
      </w:r>
      <w:r>
        <w:rPr>
          <w:rFonts w:hint="eastAsia" w:ascii="方正小标宋简体" w:hAnsi="方正小标宋简体" w:eastAsia="方正小标宋简体" w:cs="方正小标宋简体"/>
          <w:sz w:val="36"/>
          <w:szCs w:val="36"/>
        </w:rPr>
        <w:t>落实情况中期自评表</w:t>
      </w:r>
    </w:p>
    <w:p>
      <w:pPr>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填报单位：</w:t>
      </w:r>
      <w:r>
        <w:rPr>
          <w:rFonts w:hint="eastAsia" w:ascii="仿宋_GB2312" w:hAnsi="仿宋_GB2312" w:eastAsia="仿宋_GB2312" w:cs="仿宋_GB2312"/>
          <w:sz w:val="30"/>
          <w:szCs w:val="30"/>
          <w:lang w:val="en-US" w:eastAsia="zh-CN"/>
        </w:rPr>
        <w:t>（部门公章）</w:t>
      </w:r>
      <w:r>
        <w:rPr>
          <w:rFonts w:hint="eastAsia" w:ascii="黑体" w:hAnsi="黑体" w:eastAsia="黑体" w:cs="黑体"/>
          <w:sz w:val="30"/>
          <w:szCs w:val="30"/>
          <w:lang w:val="en-US" w:eastAsia="zh-CN"/>
        </w:rPr>
        <w:t xml:space="preserve">                                    负责人签字：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962"/>
        <w:gridCol w:w="2138"/>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4"/>
                <w:szCs w:val="24"/>
                <w:highlight w:val="none"/>
                <w:u w:val="none"/>
                <w:lang w:val="en-US" w:eastAsia="zh-CN" w:bidi="ar"/>
                <w14:textFill>
                  <w14:solidFill>
                    <w14:schemeClr w14:val="tx1"/>
                  </w14:solidFill>
                </w14:textFill>
              </w:rPr>
              <w:t>建设任务</w:t>
            </w:r>
          </w:p>
        </w:tc>
        <w:tc>
          <w:tcPr>
            <w:tcW w:w="4962" w:type="dxa"/>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4"/>
                <w:szCs w:val="24"/>
                <w:highlight w:val="none"/>
                <w:u w:val="none"/>
                <w:lang w:val="en-US" w:eastAsia="zh-CN" w:bidi="ar"/>
                <w14:textFill>
                  <w14:solidFill>
                    <w14:schemeClr w14:val="tx1"/>
                  </w14:solidFill>
                </w14:textFill>
              </w:rPr>
              <w:t>主要任务</w:t>
            </w:r>
          </w:p>
        </w:tc>
        <w:tc>
          <w:tcPr>
            <w:tcW w:w="2138" w:type="dxa"/>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4"/>
                <w:szCs w:val="24"/>
                <w:highlight w:val="none"/>
                <w:u w:val="none"/>
                <w:lang w:val="en-US" w:eastAsia="zh-CN" w:bidi="ar"/>
                <w14:textFill>
                  <w14:solidFill>
                    <w14:schemeClr w14:val="tx1"/>
                  </w14:solidFill>
                </w14:textFill>
              </w:rPr>
              <w:t>责任单位</w:t>
            </w:r>
          </w:p>
        </w:tc>
        <w:tc>
          <w:tcPr>
            <w:tcW w:w="6256"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4"/>
                <w:szCs w:val="24"/>
                <w:highlight w:val="none"/>
                <w:u w:val="none"/>
                <w:lang w:val="en-US" w:eastAsia="zh-CN" w:bidi="ar"/>
                <w14:textFill>
                  <w14:solidFill>
                    <w14:schemeClr w14:val="tx1"/>
                  </w14:solidFill>
                </w14:textFill>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bookmarkStart w:id="0" w:name="OLE_LINK2" w:colFirst="3" w:colLast="3"/>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教师教育</w:t>
            </w:r>
            <w:bookmarkStart w:id="1" w:name="OLE_LINK1"/>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18项</w:t>
            </w:r>
          </w:p>
          <w:p>
            <w:pPr>
              <w:keepNext w:val="0"/>
              <w:keepLines w:val="0"/>
              <w:widowControl/>
              <w:suppressLineNumbers w:val="0"/>
              <w:jc w:val="center"/>
              <w:textAlignment w:val="center"/>
              <w:rPr>
                <w:rFonts w:hint="default"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bookmarkEnd w:id="1"/>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落实新时代“强师计划”，主动服务我国教师教育创新体系建设。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w:t>
            </w:r>
          </w:p>
        </w:tc>
        <w:tc>
          <w:tcPr>
            <w:tcW w:w="6256"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2.打</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造国家师范教育基地和教师教育改革实验区。</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w:t>
            </w:r>
          </w:p>
        </w:tc>
        <w:tc>
          <w:tcPr>
            <w:tcW w:w="6256" w:type="dxa"/>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3.推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动教师教育模式深刻转型，形成服务教师终身学习和引领“新师范”建设的东师方案。</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教务处、研究生院、教师教育研究院、职业与继续教育学院</w:t>
            </w:r>
          </w:p>
        </w:tc>
        <w:tc>
          <w:tcPr>
            <w:tcW w:w="6256" w:type="dxa"/>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numPr>
                <w:ilvl w:val="0"/>
                <w:numId w:val="0"/>
              </w:numPr>
              <w:suppressLineNumbers w:val="0"/>
              <w:ind w:left="0" w:leftChars="0" w:firstLine="0" w:firstLineChars="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1"/>
              </w:numPr>
              <w:suppressLineNumbers w:val="0"/>
              <w:jc w:val="both"/>
              <w:textAlignment w:val="center"/>
              <w:rPr>
                <w:rFonts w:hint="default"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落</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实“优师计划”，面向中西部定向招生，开展职后追踪服务，助力教师专业发展。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教务处、教师教育研究院</w:t>
            </w:r>
          </w:p>
        </w:tc>
        <w:tc>
          <w:tcPr>
            <w:tcW w:w="6256" w:type="dxa"/>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2"/>
              </w:numPr>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全面推进卓越教师</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2.0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计划，将创造力培养融入骨干教师、卓越教师、教育家型教师的培养目标，建构贯通教师职业生涯发展的“本硕一体化</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职前教育+职业跟踪指导+教</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育博士在职培养”的培养体系，完善职前职后、本硕博有机衔接的培养方案与课程设置。</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w:t>
            </w:r>
          </w:p>
        </w:tc>
        <w:tc>
          <w:tcPr>
            <w:tcW w:w="6256" w:type="dxa"/>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2"/>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优化“3+1+2”本硕贯通培养模式，依托教师</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教</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育研究院开展书院制创新教师培养，有效落实“学科导师＋教学导师＋实践导师”协同指导的“三导师”制。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numPr>
                <w:ilvl w:val="0"/>
                <w:numId w:val="0"/>
              </w:numPr>
              <w:suppressLineNumbers w:val="0"/>
              <w:ind w:left="0" w:leftChars="0" w:firstLine="0" w:firstLineChars="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推动人工智能与教师教育的深度融合，持续深化教育教学改革，探索创新教书育人模式，全面提升教师培养质量。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瞄准教师教育世界一流，重点加强以教育学、心理学为主干，以语数外、理化生、政史地、音体美等为支撑的教师教育学科专业体系建设。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发展规划处、教务处、研究生院、教师教育研究院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9.</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培育教育学进入国家“双一流”建设学科行列，其他教师教育支撑学科力争全部进入国内同类学科的前</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20%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10.加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强师范类专业建设，大力推进师范类专业认证。</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依托教师教育省部共建协同创新中心，强化师范大学、地方政府、中小学校协同创新示范引领优势，推动教师教育领域前沿交叉研究、一流课程和教材建设，每年发布《中国教师发展报告》。</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教师教育研究院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12.致</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力研究、破解基础教育领域重点热点难点问题，为推动我国基础教育课程改革、基础教育学校改进以及未来学校、高品质学校建设等改革创新做出积极贡献，深度参与基础教育行业标准研制和咨政建言工作，每年发布《中国农村教育发展报告》。</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社会科学处、教师教育研究院、教务处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13.发</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挥附属学校“实验性、实践性、示范性”功能，实施“幼小初高大”一体化育人模式，深度促进学段衔接与学科融合。</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教育合作与管理处、教师教育研究院、教务处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14.发</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挥附属学校“东师品牌”的辐射引领作用，加强基础教育合作学校规划布局，完善共建共管机制。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教育合作与管理处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numPr>
                <w:ilvl w:val="0"/>
                <w:numId w:val="0"/>
              </w:numPr>
              <w:suppressLineNumbers w:val="0"/>
              <w:ind w:left="0" w:leftChars="0" w:firstLine="0" w:firstLineChars="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15.依</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托教育部幼儿园园长培训中心、教育部东北高师师资培训中心等高水平师资培训平台，实施卓越教师、校（园）长领航工程，进一步彰显“国培计划”影响力。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教育合作与管理处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16.实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施未来教育家长周期培养计划，从“</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4+2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”本硕一体化教育硕士中，每年选</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择80名</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左右的毕业生，为其配备</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1名大学教师和1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名教师教育协同创新共同体的优秀中小学教师，进行持续的职后教师专业发展跟踪指导，适应个性化需要设计教师专业发展规划与指导方案，</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年后从中选拔</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25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名左右表现优异者返校攻读教育博士学位，为其成长为未来教育家奠定基础并拓宽道路。</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教师教育研究院、研究生院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U-G-S</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2.0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模式升级计划，定位升级，人才培养、教育研究和社会服务相结合，从服务转变为引领教师教育、基础教育改革发展；理念升级，“理论</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践、学科</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+教</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育、职前</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职后”有机融合，长周期培养未来教育家；基地升级，优化教师教育创新实验区布局，促进基础教育的高位均衡发展，发起成立国家教师教育改革实验区高校联盟，建立师范生海外研习营和世界名师联盟，不断提升教师教育实践基础的均衡化、优质化和国际化水平；对象升级，从本科生拓展到研究生，并与教育博士培养相结合，实施本硕博贯通的教师教育新模式，在“</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U-G-S</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”实验区探索“政府推荐—大学培养—精准提升”的“定单式培养”教育博士模式，综合提升基地校的师资、教改、管理水平。</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教师教育人才引育专项计划，建设教师教育人才特区，构建教师教育教师、学科教学论教师、一线实践专家“三维一体”、专兼结合的师资队伍建设体系；创新教师教育人才引育机制，加大人才引育力度，力争“十四五”时期教师教育专职师资队伍增长</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50%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；完善教师教育人才评价机制，充分体现教师教育学科特点，实行专业技术职务单设岗位限额、单独评聘与考核，全力打造一支数量充足、结构合理、专兼结合并具有国际视野的一流教师教育人才队伍。</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教师教育研究院、人事处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人才培养</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36</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1.实行</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教学与科研等效的教师绩效评价激励机制和教授全员讲授本科课制度，加大对教师教学绩效的激励力度。</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生院、人事处、发展规划处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2.实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施以人才培养成效为依据的资源配置机制，全口径优化教学资源配置方式。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教务处、研究生院、发展规划处、财务处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3.探</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索“基础性经费</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+竞争</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性经费</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+绩</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效性经费”的教学经费配置机制，保证教学经费的</w:t>
            </w:r>
            <w:r>
              <w:rPr>
                <w:rStyle w:val="8"/>
                <w:rFonts w:hint="eastAsia" w:ascii="Times New Roman" w:hAnsi="Times New Roman" w:eastAsia="仿宋_GB2312" w:cs="Times New Roman"/>
                <w:color w:val="000000" w:themeColor="text1"/>
                <w:sz w:val="24"/>
                <w:szCs w:val="24"/>
                <w:highlight w:val="none"/>
                <w:lang w:val="en-US" w:eastAsia="zh-CN" w:bidi="ar"/>
                <w14:textFill>
                  <w14:solidFill>
                    <w14:schemeClr w14:val="tx1"/>
                  </w14:solidFill>
                </w14:textFill>
              </w:rPr>
              <w:t>增长比例高于学校</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事业性经费的增长比例。</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教务处、研究生院、财务处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面激发教书育人、管理育人、服务育人的内在动力，形成教师热爱教学、投入教学、研究教学和全校支持教学、服务教学、保障教学的尊师重教局面。</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教务处、研究生院、人事处、党委教师工作部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构建“五育并举”的教育体系，形成全员全过程全方位育人格局，构建课程、科研、实践、文化、网络、心理、管理、服务、资助、组织等全方位、一体化、多层次的育人体系，着力促进学生全面成长成才。</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党委学生工作部</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、教务处、研究生院、党委组织部、党委宣传部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施基于养成的思政教育领航计划，构建“思政课程</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+课</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程思政</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导学思政”三位一体的思想政治教育体系。严格落实学校领导讲授思政课、牵头建设思政课制度。依托思想政治教育研究院和教师教育研究院，探索具有东师特色的“养成型”思政教育新模式，构建各类课程与思政课同向同行、双向融入的课程体系。进一步发挥全国重点马克思主义学院等支撑作用，深化思想政治理论课程改革，加强“四史”“习近平总书记教育重要论述讲义”等课程教育。实施课程思政“七个一”工程建设项目，即建设一批课程思政建设优秀党支部，形成一个课程思政教学研究智库，设立一批课程思政教学研究项目，建设一批课程思政示范课堂，建设一批课程思政示范课程，打造一批课程思政名师工作室，打造一批课程思政教学团队。探索推进幼小初高大课程思政一体化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教务处、研究生院、学校办公室、党委学生工作部、思想政治教育研究院、教师教育研究院、党委组织部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依托体育美育劳动教育工作委员会，开展体育、美育、劳动教育育人体系建设、课程建设、教学研究、竞赛活动和场地建设。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r>
              <w:rPr>
                <w:rFonts w:hint="eastAsia" w:ascii="仿宋_GB2312" w:hAnsi="仿宋_GB2312" w:eastAsia="仿宋_GB2312" w:cs="仿宋_GB2312"/>
                <w:b w:val="0"/>
                <w:bCs w:val="0"/>
                <w:i w:val="0"/>
                <w:iCs w:val="0"/>
                <w:color w:val="000000" w:themeColor="text1"/>
                <w:kern w:val="0"/>
                <w:sz w:val="24"/>
                <w:szCs w:val="24"/>
                <w:highlight w:val="none"/>
                <w:u w:val="none"/>
                <w:lang w:val="en-US" w:eastAsia="zh-CN" w:bidi="ar"/>
                <w14:textFill>
                  <w14:solidFill>
                    <w14:schemeClr w14:val="tx1"/>
                  </w14:solidFill>
                </w14:textFill>
              </w:rPr>
              <w:t>、学生处、团委</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以</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PI</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制为依托，实行“科学研究、人才培养、导师发展”三位一体、以高水平科研支撑创新人才培养的组织机制。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9.构</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建一流专业、一流课程、高水平教材、拔尖基地相互支撑的高水平人才培养体系。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10.聚</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焦“四新”，持续加强学科专业内涵建设，实施学科专业自评和动态调整，增设新兴交叉学科专业，健全人工智能、储能技术、生物技术、数字经济等紧缺人才培养体制机制，加强文、史、哲等基础学科和紧缺专业人才培养，建设一批一流学科专业。</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打造东师特色的通识教育课程体系，实施“一流大学学科核心课程建设”项目、“十百千”课程建设计划，持续建设“创造的教育”示范课堂。</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基于创造的教学模式改革计划，落实本科生导师制和博士研究生全员助教制度，鼓励学生及早进入实验室和科研团队，进行本硕博一体化培养。以教学模式改革为突破口，带动学校创新人才培养质量整体提升。坚持以学生为中心，创新教育教学方式，注重问题导向、方法引领和过程育人，实现教学内容由“知识形态”向“问题形态”“方法形态”和“教育形态”的转化，提高学生自主学习能力和实践创新能力。加强基层教学组织建设。逐步实施教师全员终身培训制度。</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13.培</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育支持高水平教材建设，建设一批国家一流课程和教材。</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14.构</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建“招生、培养与就业良性互动”“第一课堂第二课堂高效齐动”“社会、政府和高校有效联动”的协同育人体系。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教务处、研究生院、学生处、学生就业指导服务中心、团委</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15.依</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托学校优势学科资源，以“香港内地学生生态综合实习计划”等活动为基础，推动与港澳台高校的深度合作。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16.</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成立职业与继续教育学院，高质量发展网络教育，探索开展本科职业教育，参与职业继续教育，推动职前教育与职后教育、普通教育与职业教育融合发展。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职业与继续教育学院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1</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7.创</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新型卓越教师以学科素养、教育素养、教育教学能力和实践研究能力培养为重点，强化教师基本功培养，依托“</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U-G-S</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模式，实施学科与教育、理论与实践、职前与职后有机融合的本硕博贯通一体化培养。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教务处、研究生院、教师教育研究院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18.学术</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型拔尖人才突出自主学习和创新能力的培养，实施基础学科本硕博贯通拔尖人才培养计划，探索与国内外高水平大学和科研院所联合培养方式，深化以“探索—生成—创造”为核心的科教融合培养模式改革，探索实施书院制，围绕一流建设学科建设拔尖创新人才培养基地。</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19.应</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用型精英人才以职业素养和实践能力培养为重点，实施本研一体化的“大学—地方政府—企事业单位”（“</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U-G-E</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”)培养模式，加速推进产教融合培养模式改革，吸纳行业企业深度参与人才培养过程。</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20.实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基于融合的专业学位发展计划，深化专业学位研究生培养模式改革，为创新型国家建设培养大批应用型高层次人才。加强产教融合人才培养项目建设，根据专业建设需要培育产教融合培养基地，试点探索实施“订单式培养”项目。完善经费投入保障机制，提高专业学位培养规格和奖助标准，增设企业行业冠名奖学金。优化教师结构，全面落实专业学位研究生培养校内外“双导师”制和“导师组”制，建立校内与校外导师“旋转门”制度。加强组织领导，探索建立专业学位分委会制度，设置跨学院专业学位管理中心，培育增设若干专业博士学位类别，推动专业学位研究生教育规模稳健增长。</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研究生院、发展规划处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21.构</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建师范大学创新创业教育体系，以高水平学科竞赛和创新创业赛事为抓手，培养学生的创新能力和综合素质。</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教务处、研究生院、学生处、团委、学生就业指导服务中心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22.从</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德智体美劳五个方面出发，围绕教师、学生、用人单位三个主体，构建促进学生全面发展的“过程评价、结果评价和综合评价”相结合的评价体系。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教务处、研究生院、学生处、学生就业指导服务中心、团委</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把立德树人成效作为人才培养评价的根本标准，完善德育评价、强化体育评价、改进美育评价、加强劳动教育评价。</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教务处、研究生院、学生处、团委</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24.以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学生学习成效为导向，优化“教师、学生和用人单位”三位一体的培养质量评价机</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制</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。建立健全由目标导向、过程监控、信息反馈等构成的闭环评价体系，形成教学工作持续改进的机制。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教务处、研究生院、学生就业指导服务中心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25.以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课程评价改革为核心，完善过程性考核与结果性考核有机结合的学业考评制度。</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26.强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化导师责任，建立全过程全环节研究生质量管控体系。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发布年度质量报告，做好教育部新一轮本科教育教学审核评估和学位点合格评估工作。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28.实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基于过程的培养质量保障计划，优化本科大类招生，深化专业学位和学术学位硕士研究生分类考试改革，完善博士申请—考核制招生选拔方式；做好研究生招生宣传顶层设计，构建学院主动、考生互动、校内外联动的研究生招生宣传体系，切实提升生源质量。放宽本科生转专业和研究生转方向限制，试行主辅修必修制度和荣誉学位制度，积极推动师范类专业三级认证，推进其它学科专业进行专业认证和第三方评估。建立课程质量标准、课程准入和退出机制及督导责任体系；建立基于学生学业考核的分流淘汰机制。跨方向、跨学科组建个性化博士指导小组，设立促进导师发展的平台，建立学校、学院、学科三级导师培训体系，提升导师指导水平。实行培养单位人才培养绩效考核制度，落实学院（部）质量保障主体责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29.完</w:t>
            </w:r>
            <w:r>
              <w:rPr>
                <w:rFonts w:hint="eastAsia" w:ascii="仿宋_GB2312" w:hAnsi="仿宋_GB2312" w:eastAsia="仿宋_GB2312" w:cs="仿宋_GB2312"/>
                <w:i w:val="0"/>
                <w:iCs w:val="0"/>
                <w:color w:val="000000" w:themeColor="text1"/>
                <w:sz w:val="24"/>
                <w:szCs w:val="24"/>
                <w:highlight w:val="none"/>
                <w:u w:val="none"/>
                <w:lang w:val="en-US" w:eastAsia="zh-CN"/>
                <w14:textFill>
                  <w14:solidFill>
                    <w14:schemeClr w14:val="tx1"/>
                  </w14:solidFill>
                </w14:textFill>
              </w:rPr>
              <w:t>善“一体化、专业化、精细化”运行模式，推动学生工作高质量发展。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highlight w:val="none"/>
                <w:u w:val="none"/>
                <w:lang w:val="en-US" w:eastAsia="zh-CN" w:bidi="ar"/>
                <w14:textFill>
                  <w14:solidFill>
                    <w14:schemeClr w14:val="tx1"/>
                  </w14:solidFill>
                </w14:textFill>
              </w:rPr>
              <w:t>党委学生工作部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实施“学在东师·成才报国”学风建设计划和“未来教育家”实践育人工程，构建新媒体引领矩阵，建设“社区文化长廊”，打造高质量日常教育体系。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学生处、教务处、研究生院、教师教育研究院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以课程体系建设和服务创新为重点，构建“发展型”心理健康教育模式。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学生处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32.实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施“管理育人共同体建设计划”，提升学生事务治理水平。</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党委学生工作部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33.实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施高端就业市场建设战略，完善“四位一体”就业指导模式。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学生就业指导服务中心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34.</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加快构建资助育人品牌活动矩阵，进一步完善精准资助工作体系。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学生资助管理中心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实施大学生综合能力提升计划，完善“第二课堂”育人平台，构建“五维并进”校园文化育人生态系统。</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团委、党委宣传部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36.加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快思想政治名师工作室与精品项目建设。</w:t>
            </w:r>
          </w:p>
        </w:tc>
        <w:tc>
          <w:tcPr>
            <w:tcW w:w="2138" w:type="dxa"/>
            <w:vMerge w:val="restart"/>
            <w:vAlign w:val="center"/>
          </w:tcPr>
          <w:p>
            <w:pPr>
              <w:widowControl/>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党委学生工作部、党委教师工作部、党委宣传部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学科建设</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13</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实施高峰学科强优计划，重点建设马克思主义理论、世界史、数学、化学、统计学、材料科学与工程</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6个</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“双一流”建设学科，重点培育教师教育、生命与环境</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2个一流培育学科领域，每个一</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级学科建成</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3个</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以上国内领先、世界一流的优势学科方向，整体达到或接近世界一流学科水平。</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高原学科促优计划，巩固提升哲学、心理学、政治学、中国语言文学、外国语言文学、中国史、物理学、地理学、环境科学与工程、体育学、音乐与舞蹈学、美术学、应用经济学等具有博士学位授权一级学科的建设水平，每个一级学科建成</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3个</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以上国内一流的学科方向，优势学科方向达到世界一流水平，力争全部进入全国同类学科的前</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，为建设学科高峰构筑高原基础。</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实施交叉学科创优计划，依托前沿交叉研究院、深圳研究院等交叉平台，围绕“数学</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”“智能</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”“教育</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领域，培育数学工程与技术、数据科学与人工智能、脑科学与智慧教育、新能源与新材料、生物与化学制药、黑土区资源与生态、寒区环境生态修复与绿色发展、冰雪运动与文化、农村教育与乡村振兴、东北区域发展等领域战略布局前沿交叉学科增长点，实现一流学科建设的新突破。</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发展规划处、社会科学处、科学技术处、前沿交叉研究院、深圳研究院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施“后发学科提质计划”，加强硕士学位授权一级学科建设，实现后发学科的调整、优化、再提高，促进学科协调发展。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5.打</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造教师教育、文史哲、政经法、艺术、数理化、生命与环境、工程技术</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7大</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相互协同促进的学科群。</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完善以社会需求和学术贡献为导向的学科专业动态调整机制。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7.进</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一步明确学科发展目标定位，按照学科性质分为侧重培养学术型创新人才学科和侧重培养应用型专业人才学科，进行分类建设。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8.围</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绕“双一流”建设学科，加快推进新工科、新农科、新文科以及战略性新兴学科的前瞻布局。</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教务处、研究生院、发展规划处、社会科学处、科学技术处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9.进</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一步调整优化两校区的学科专业布局，破解自由校区学科发展的空间约束，着力解决部分学科跨校区办学问题，实现净月校区学科专业水平的整体提升。</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发展规划处、教务处、研究生院、资产与实验室管理处、学生处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快推动前沿交叉研究院、深圳研究院建设，积极探索新型前沿交叉研究机构的治理模式，实行理事会领导下的院长负责制和学科带头人负责制，在人才引进、学术评价、薪酬待遇等方面给予充分办学自主权，建立自主进行体制机制创新的“学术特区”，实现交叉学科的实体化运行和可持续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发展规划处、前沿交叉研究院、深圳研究院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11.聚</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焦重大基础理论、国家战略需求和关键核心技术，探索前沿交叉研究领域，凝练重大学术问题，开展校内外多学科协同攻关的有组织科研。</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12.实施交叉学科复合型创新人才培养计划，规划筹建基于前沿交叉的未来技术学院，构建跨学</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科交叉、跨校所联合的拔尖创新人才培养体系和培养模式。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构建以学院（部）为评价单位、以学科为评价对象、以一流关键绩效为指标的“人才培养、科学研究、团队建设”三位一体的学科建设绩效评价体系，完善以学科建设绩效评价结果为依据的学科动态调整和资源动态配置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学科建设工作组成员单位</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706" w:type="dxa"/>
            <w:vMerge w:val="restart"/>
            <w:vAlign w:val="center"/>
          </w:tcPr>
          <w:p>
            <w:pPr>
              <w:jc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队伍建设</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25</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东师学者”人才培育计划，聚焦国家战略需求、结合“双一流”建设、衔接国家人才工程，围绕重点学科、优先领域和前沿方向，重点选拔与支持一批具有国际视野、学术领先、带动学科跨越发展的学术领军人才和有重大创新前景、发展潜力、提升学校未来竞争力的优秀青年人才。分类实施培育，设置讲席教授、特聘教授、英才教授和青年学者</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4个层</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次</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6个</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类别的人才聘用岗位；明确目标导向，构建能进能出、能上能下的人才发展评价机制。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施高端人才引进“百人计划”，着眼于学校未来的学科带头人和青年学术骨干队伍建设，对标国家各类人才工程和项目，借鉴国际一流大学教师聘任学术标准和人才选拔任用机制，计划用</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5-10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年时间，引进和汇聚</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位左右活跃在国际学术前沿、具有国际竞争力的领军人才、骨干人才和优秀青年人才。</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施博士后创新人才蓄力计划，聚焦一流学科和优势学科建设，改革博士后岗位设置与资助体系，提高薪酬待遇，加大保障激励，畅通职业通道，改革评价导向，灵活聘用模式，增强博士后队伍吸引力，经过</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5年</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左右努力，博士后队伍规模、结构、素质能力有效支撑学校事业发展和人才队伍建设。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实施后备人才定向培养计划（“优</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计划”），聚焦“双一流”建设的人才需求，依托学院、学科或导师与国内外顶尖大学或一流学者团队的合作项目，遴选优秀应届博士毕业生赴合作单位进行博士后定向培养，探索人才引育“内生”与“外培”有效结合机制，立足长远培育和储备一批有较大发展潜力的青年学术骨干后备力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实施青年人才国内研修计划（“</w:t>
            </w:r>
            <w:r>
              <w:rPr>
                <w:rFonts w:hint="default" w:ascii="Times New Roman" w:hAnsi="Times New Roman" w:eastAsia="仿宋_GB2312" w:cs="Times New Roman"/>
                <w:i w:val="0"/>
                <w:iCs w:val="0"/>
                <w:color w:val="000000" w:themeColor="text1"/>
                <w:kern w:val="0"/>
                <w:sz w:val="24"/>
                <w:szCs w:val="24"/>
                <w:highlight w:val="none"/>
                <w:u w:val="none"/>
                <w:lang w:val="en-US" w:eastAsia="zh-CN" w:bidi="ar"/>
                <w14:textFill>
                  <w14:solidFill>
                    <w14:schemeClr w14:val="tx1"/>
                  </w14:solidFill>
                </w14:textFill>
              </w:rPr>
              <w:t>A</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计划”），在疫情常态化背景下，围绕学科建设的人才需求，扩大青年教师国内一流大学和一流学科研修的规模并加大支持力度，每年定期遴选一批优秀青年教师赴国内</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A类</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学科或国家级科研院所，开展为期</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年的访学研修，提高学术水平并开展实质性合作与交流。</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w:t>
            </w:r>
            <w:r>
              <w:rPr>
                <w:rStyle w:val="8"/>
                <w:rFonts w:hint="eastAsia" w:ascii="Times New Roman" w:hAnsi="Times New Roman" w:eastAsia="仿宋_GB2312" w:cs="Times New Roman"/>
                <w:color w:val="000000" w:themeColor="text1"/>
                <w:spacing w:val="-11"/>
                <w:sz w:val="24"/>
                <w:highlight w:val="none"/>
                <w:lang w:val="en-US" w:eastAsia="zh-CN" w:bidi="ar"/>
                <w14:textFill>
                  <w14:solidFill>
                    <w14:schemeClr w14:val="tx1"/>
                  </w14:solidFill>
                </w14:textFill>
              </w:rPr>
              <w:t>完</w:t>
            </w:r>
            <w:r>
              <w:rPr>
                <w:rFonts w:hint="eastAsia" w:ascii="仿宋_GB2312" w:hAnsi="仿宋_GB2312" w:eastAsia="仿宋_GB2312" w:cs="仿宋_GB2312"/>
                <w:i w:val="0"/>
                <w:iCs w:val="0"/>
                <w:color w:val="000000" w:themeColor="text1"/>
                <w:spacing w:val="-11"/>
                <w:kern w:val="0"/>
                <w:sz w:val="24"/>
                <w:szCs w:val="24"/>
                <w:highlight w:val="none"/>
                <w:u w:val="none"/>
                <w:lang w:val="en-US" w:eastAsia="zh-CN" w:bidi="ar"/>
                <w14:textFill>
                  <w14:solidFill>
                    <w14:schemeClr w14:val="tx1"/>
                  </w14:solidFill>
                </w14:textFill>
              </w:rPr>
              <w:t>善外聘高级专家管理办法</w:t>
            </w:r>
            <w:r>
              <w:rPr>
                <w:rFonts w:hint="eastAsia" w:ascii="仿宋_GB2312" w:hAnsi="仿宋_GB2312" w:eastAsia="仿宋_GB2312" w:cs="仿宋_GB2312"/>
                <w:i w:val="0"/>
                <w:iCs w:val="0"/>
                <w:color w:val="000000" w:themeColor="text1"/>
                <w:spacing w:val="-17"/>
                <w:kern w:val="0"/>
                <w:sz w:val="24"/>
                <w:szCs w:val="24"/>
                <w:highlight w:val="none"/>
                <w:u w:val="none"/>
                <w:lang w:val="en-US" w:eastAsia="zh-CN" w:bidi="ar"/>
                <w14:textFill>
                  <w14:solidFill>
                    <w14:schemeClr w14:val="tx1"/>
                  </w14:solidFill>
                </w14:textFill>
              </w:rPr>
              <w:t>，持续扩大引才引智路径，不拘一格、充</w:t>
            </w:r>
            <w:r>
              <w:rPr>
                <w:rFonts w:hint="eastAsia" w:ascii="仿宋_GB2312" w:hAnsi="仿宋_GB2312" w:eastAsia="仿宋_GB2312" w:cs="仿宋_GB2312"/>
                <w:i w:val="0"/>
                <w:iCs w:val="0"/>
                <w:color w:val="000000" w:themeColor="text1"/>
                <w:spacing w:val="-11"/>
                <w:kern w:val="0"/>
                <w:sz w:val="24"/>
                <w:szCs w:val="24"/>
                <w:highlight w:val="none"/>
                <w:u w:val="none"/>
                <w:lang w:val="en-US" w:eastAsia="zh-CN" w:bidi="ar"/>
                <w14:textFill>
                  <w14:solidFill>
                    <w14:schemeClr w14:val="tx1"/>
                  </w14:solidFill>
                </w14:textFill>
              </w:rPr>
              <w:t>分发掘国际国内人才资源。</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提高编制使用效益，统筹用好编制资源，优先保障教学科研需求，向一流学科、培育学科和特色学科倾斜。推进激发教师活力的聘用制度改革，科学规划编制岗位，合理配备学科队伍，优化编制资源宏观调控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8.试</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行教师“准聘—长聘”制度，探索教师“双轨—并轨”聘用体系。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完善学术带头人返聘制度，调整博士生导师退休制度，创设教师荣誉制度。</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人事处、研究生院、党委教师工作部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全激发成长潜力的职称评聘制度考核，完善以人才培养和学术质量贡献为核心的教师分类评价机制，推进以专业水平和技术服务能力为核心的专业技术人员评价机制，建立以服务水平和行政管理能力为核心的管理人员评价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11.深</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考核制度改革，全面推行代表作评价，重视教师成长性评价，探索人才长周期评价，建立以增加知识价值和学科团队整体评价为导向的绩效考核制度，强化合同规范管理，明确岗位考核目标，严格考核程序标准，坚持优进拙退，确保队伍质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强化教师思想政治素质考察，把师德表现作为在招聘引进、职称评审、岗位聘用、导师遴选、评优奖励、聘期考核、项目申报等工作中的首要要求，进一步完善师德考核机制，推进考核信息化建设。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人事处、党委教师工作部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13.持</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续开展“郑德荣式好老师”等典型选树工作。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党委教师工作部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14.</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设计开发模块化、沉浸式、综合型的师德培训课程，加强教师师德师风教育。</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党委教师工作部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优化师德失范问题查处机制，严肃整治师生反映强烈的突出问题，从严查处违反师德师风行为，营造健康诚信的学术生态。</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纪委办公室、监察处、党委教师工作部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16.统筹做好思想动态调研、青年教师文化沙龙和老教师荣休工作，引导教师树立敬业立学、</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崇德尚美的新风貌。</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党委教师工作部、人事处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建好教育部师德师风建设基地，深化师德师风建设研究，持续开展多种形式培训工作。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党委教师工作部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18.提升职员教辅队伍水平，合理规划岗位设置，科学配置编制资源，明确岗位职责，强化激</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励引导。</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19.</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完善职员教辅人员招聘补充渠道，建立多元聘任机制，试点部分岗位社会化聘用和市场化薪酬制度，提升人员补充质量。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拓宽职员教辅人员职业发展平台，畅通职业发展路径，加强在职培养与岗位交流，提升管理服务能力与专业技术水平，切实提高管理服务效益，形成一支素质精良、高效敬业的管理服务与技术支撑队伍。</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坚持党管人才原则，加强团结引领服务，建立党委联系专家制度，健全人才工作协同机制，加强业务职能部门协同配合。</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实行人才工作目标责任制，构建“学校规划监管、学院统筹推进、学科自主发展”的三级人才队伍建设新机制，加大人才引育工作的激励和保障力度，实行人才引育经费“学校</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学院</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+学</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科”的分担机制，提升人才凝聚力、竞争力和吸引力。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突出学院学科主体地位，将用人选才情况、人才发展情况、人才稳定情况和对人才服务质量列为基层单位考核重要内容，加大考核结果在队伍建设考核绩效、资源分配和干部考核选拔任用中的有效运用，为人才提供全方位保障服务，提升人才归属感、认同感和使命感。</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24.</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加大国家级教师教学发展示范中心、东北地区高校教师教学发展研究院等高端平台建设力度，以迈向卓越、示范引领为目标，建立健全教师教学学术与教学能力提升的服务支撑体系。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教师教育研究院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严格落实教育评价改革总体方案等国家有关文件精神要求，以增加知识价值为导向，结合我校财力情况和可持续发展能力，进一步推进人事薪酬制度改革，重点向教师和科研人员倾斜，实现好、维护好、发展好教职工的根本利益。</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创新服务</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32</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深化“放管服”改革，赋予领军人才更大科研自主权。</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进科研评价改革，坚持“破唯”与“增维”并举，定性与定量评价相结合，构建以“质量、贡献、绩效”为导向的科研评价激励机制，形成有利于创新的科研评价体系。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加强顶层设计，强化有组织的科研，组建哲学社会科学和科学技术战略咨询委员会，制定科研领域中长期发展规划，凝练若干有特色、有前景的重大研究选题。</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4.深</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化交叉研究</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机制</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，推动“文理工艺”多维度深层次融合，在教师教育、智能教育、传统文化抢救与保护等领域布局一批集成创新项目。</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5.优</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化科研资源配置，统筹学科建设经费和科研经费使用，加大基础研究的稳定性支持和围绕重大问题攻关的特殊支持力度，提高科研经费使用效益。</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化科技安全意识，推动建立风险防范长效机制。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科学技术处、学校办公室、资产与实验室管理处、信息化管理与规划办公室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推进科研诚信建设，营造求真务实、潜心治学、勇攀高峰的科研创新环境。</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基础研究，优先支持教文史外数理化生地等传统优势基础学科开展学科前沿和基本问题研究，保持教师教育、思想政治教育、农村教育、世界古典史、东亚史、数理统计等学科方向的前沿地位，推进中（外）国语言文学、中国史、生物学等传统学科基础研究向纵深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9.促</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进应用研究，把服务国家战略和区域社会经济建设作为应用型科研的主战场，推进边疆问题、区域经济、民族宗教、东北黑土区域生态保护与恢复、“双碳”目标、海量遥感数据、固态电池、先进材料、生物医药、遗传育种等主要应用研究领域深度融入国家战略主题。</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大成果转化支持力度，搭建产学研一体化和从实验室到成果转化的全过程平台，培育一批具有重大产业化需求和经济价值的自主知识产权成果。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协同创新提质计划，围绕国家战略，坚持问题导向和需求导向，聚焦学科前沿问题、经济社会发展重大问题和关键技术突破，在思想政治教育、教师教育、东亚问题、农村教育、大数据、人工智能、量子信息、生命健康、环境生态、脑科学、生物育种、新材料、新能源等领域，组建跨学科攻关团队，设立</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10-20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个重大科研项目，提高学校承担国家重大项目和急难险重攻关任务的能力。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产业服务提质计划，完善产学研一体化机制，推进应用成果转化，形成创新链。围绕新能源、新材料、新农业、汽车工程、生物医药、生命健康、环境保护、智能教育、数字经济、应用数学与大数据等地方支柱产业及领域，培育和推广具有重大产业化需求和经济价值的自主知识产权成果。重点推动东北振兴三项之一的“固态电池协同创新项目”科研攻关和成果转化。</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立足国家重大战略需求，加大国家重点实验室等国家级科技创新平台的培育和建设力度，加强基础设施建设，汇聚一批高端人才，力争国家级科技创新平台建设取得新突破。</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14.</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推进哲学社会科学重点研究基地和重点实验室建设，立足哲学社会科学与新技术、新方法、新思维交叉融合，建设一批综合性、跨学科实践的文科研究基地和文科实验室。</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加强新型高校智库建设，启动大型社会调研，建设若干应用型数据中心，着力解决国家和地区经济社会发展的重大问题，提高服务党和国家决策的能力。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16.加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学术期刊建设，制定加强学术期刊建设的指导意见，推进期刊管理体制机制改革，构建期刊建设支撑保障体系，加大思想政治教育期刊和教学研究期刊建设力度，全面提高学术期刊办刊质量，有效支撑“双一流”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社会科学处、科学技术处、党委宣传部、发展规划处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17.实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创新平台提质计划，重点推进黑土地保护与利用、特种功能材料与未来技术、药物基因和蛋白筛选、应用数学、冰雪运动等领域建设国家级科研平台。推动思想政治教育、农村教育、东亚问题等领域建设有影响力的新型高校智库，力争进入国家智库行列。探索文科实验室建设机制，在价值观教育、教育干预、智能教育、民族语言等领域培育一批文科实验室，力争进入教育部哲学社会科学重点实验室行列。</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18.依</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托战略咨询委员会顶层设计，立足长远凝练重大学术问题，构建支持“原始创新”“集成突破”“军民融合”“优秀成果”的四大培育体系。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19.支</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持以问题为导向组建团队，开展跨学科交叉研究，加快科研领军人才培养。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20.加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大对青年教师的支持力度，提高青年经费比例，实施以任务制和目标制为基础的整体性、长期性人才培育机制。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21.自</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主培育一批重大项目选题，加大高水平成果资助，培育和生成一批具有国际化视野的标志性科研成果。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制定《东北师范大学关于深入推进服务吉林全面振兴全方位振兴工作的实施意见》。</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23.对</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接吉林省“一主六双”高质量发展战略需求，持续推动“新能源汽车动力电池产业化”“酶法降解人参系列产品”“松嫩草地生态系统野外科学观测”“小冰麦种植推广”等规划项目研究。重点启动“生态资源保护利用”“新材料关键技术研发”“新能源开发利用”“应用数学交叉研究”“冰雪冬奥科技”“教育创新示范”“东北全面全方位研究”等七大专项计划，推进与吉林市、长白山保护开发区等地的产学研合作，全方位服务吉林振兴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24.依</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托深圳研究院，主动融入粤港澳大湾区和深圳中国特色社会主义先行示范区建设国家战略，加强与深圳教育科研领域的深度合作，打造学校“双一流”与深圳“双区”建设紧密对接的产学研用协同创新基地。</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深圳研究院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服务国家乡村振兴战略，坚持以“输血”助“造血”的援建目标和“智力帮扶”的援建主线，精准教育、科技、人才帮扶，助力受援地区经济社会发展。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学校办公室（全校其他单位协同）</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26.</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成立乡村振兴研究院，为省域县域乡村振兴提供智力支持，促进县域经济发展，实现巩固拓展脱贫攻坚成果同乡村振兴有效衔接。</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27.加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强中华优秀传统文化传承与创新研究，在出土文献整理、中华文明制度史、中国古代哲学史等方向，推出一批有代表性的中华文化传承力作。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推动文史传艺等学科协同开展东北抗联史料挖掘、整理研究与文创工作，大力弘扬和传承伟大的抗联精神。</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29.</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立足东北特色非物质文化遗产抢救和保护，推进满文辞书史研究，组织新编《满汉大辞典》。</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30.加强地方少数民族特色文化保护与传承研究，发掘整理具有鲜明地域特征的民族舞蹈、</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民间工艺、东北民歌、吉剧等地方传统特色民族民俗和艺术资源，利用新媒体技术手段，推进数字民族民俗博物馆建设。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加强音体美传文协同创新，持续提升“东师舞蹈”“冰雪运动”等传统品牌影响力，深度参与地方文化建设活动，推出社会主义文艺精品力作。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加强文化传承平台培育建设，发掘校史红色基因，办好“东北大讲堂”品牌论坛，力争新增</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个教育部中华优秀传统文化传承基地。</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党的领导</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32</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1.筹</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备召开学校第十六次党代会，统筹谋划学校未来发展。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党委组织部、学校办公室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2.落</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实一线规则，健全党政领导班子成员深入教学一线调研、为学生讲授思政课、联系学生等制度。</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学校办公室、教务处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3.扎</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实推进学校党委决策事项督察督办，确保各项决策部署落实到位。</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隆重庆祝中国共产党成立</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100周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年，扎实开展党史学习教育，推进以党史学习为主要内容的“四史”学习教育，将“四史”教育融入人才培养全过程。</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党委宣传部、教务处、研究生院、党委学生工作部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5.继</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续巩固深化“不忘初心、牢记使命”主题教育成果。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6.坚</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持用习近平新时代中国特色社会主义思想武装头脑，培育和践行社会主义核心价值观，推动理想信念教育常态化制度化，完善校院两级政治理论学习制度，把思想政治工作作为学校各项工作的生命线。</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加强党的创新理论研究阐释，形成一批高质量的研究成果。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党委宣传部、社会科学处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8.完</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善“大思政”工作格局，不断拓展深化学校思想政治工作体系建设的探索和实践。</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11"/>
                <w:kern w:val="0"/>
                <w:sz w:val="24"/>
                <w:szCs w:val="24"/>
                <w:highlight w:val="none"/>
                <w:u w:val="none"/>
                <w:lang w:val="en-US" w:eastAsia="zh-CN" w:bidi="ar"/>
                <w14:textFill>
                  <w14:solidFill>
                    <w14:schemeClr w14:val="tx1"/>
                  </w14:solidFill>
                </w14:textFill>
              </w:rPr>
              <w:t>党委宣传部、党委学生工作部、党委教师工作部、教务处、研究生院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格落实意识形态工作责任制，强化课堂、报告会、研讨会、讲座、论坛等意识形态阵地管理。</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党委宣传部、教务处、社会科学处、科学技术处、研究生院、团委</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进学校各级官方宣传平台的融通融合，巩固和扩大学校官方媒体矩阵的传播力、影响力、引导力、公信力。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东师融媒辐射力增强计划，整合传统媒体的优势资源，利用新媒体及时性、互动性强的特点，建设“中央厨房”式融媒体中心，建立“策采编发评”全流程一体化运行机制，实现新闻信息一次采集、多种生成、多元传播。加强学校官方微信、微博、抖音和校园新闻网及全校二级单位新媒体平台的建设与管理，统筹全校宣传资源，不断进行内容与形式创新，建立网上网下互动、内宣外宣联动的宣传矩阵，形成全校共享、全员参与、全领域覆盖的立体式宣传格局，提高学校的社会声誉和影响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承红色文化，溯源建校历史，通过拍摄“光辉东师”早期历史宣传片、出版制作校史题材书籍、制作“文蕴东师”系列微视频等，深入挖掘老东大时期先进事迹；开展“重走迁校路，重温建校史”等活动，加强校史校情教育，激发师生爱校荣校之情。</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13.浓</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厚学术文化，积极践行“尊重的教育”“创造的教育”理念，大力弘扬“勤奋创新，为人师表”的校训精神和“强师报国，求实创造”的东师精神，建设精神文化高地；传承和发扬东师治学精神，做好学科学术发展史梳理和总结，实施“学术名人档案建设计划”等，挖掘和弘扬我校老一辈杰出学者的治学精神。</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14.弘</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扬师德文化，继承和发扬学校“两代师表一起抓”的光荣传统，讲好东师故事，引导师生共同树立以德施教的理念。充分汲取中华优秀传统文化、社会主义先进文化和东师校史文化中的德育要素，持续举办“理想与成才报告团”“我心中的好导师”等活动，引导学生坚定教师职业理想信念。建设郑德荣精神永久载体，传承和弘扬郑德荣精神。</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党委宣传部、党委教师工作部、党委学生工作部、研究生院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15.充</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分发挥网络文化的育人功能，持续打造《远方有你》等优秀网络文化作品，培育积极向上的网络文化。</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党委宣传部、党委学生工作部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16.</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实施二级单位领导班子建设计划，压紧压实党建主体责任，完善学院（部）议事决策制度体系，深入开展基层党建“双创”工作，推动基层党组织强化政治功能、履行政治责任。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实施党支部标准化规范化建设计划，加强“双带头人”教师党支部书记和后备队伍培育，将党支部与学科方向团队有机结合，促进基层党建与业务工作深度融合。</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18.开</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展党建制度落实督导检查，并作为各级党组织书记述职、民主评议党员的重要内容。</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19.设</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立党建研究项目，定期举办党建研讨会，提升党建理论研究能力；研发设计精品红</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色教学项目，打造精品专题课程。</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20.实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施党员和积极分子队伍质量提升计划，加强校院两级党校建设，强化在高层次人才、优秀青年教师群体中发展党员工作。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21.实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施党务工作者队伍建设计划，选强配齐专职党务工作人员，优化党建工作队伍结构。</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完善选拔任用体系，修订中层干部、科级干部选拔任用细则，实施优秀年轻干部队伍建设计划，着眼长远培养一批年轻干部，重点加强校级和处级优秀年轻干部队伍建设。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23.选</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派干部深入基层和乡村振兴一线挂职锻炼，加大干部轮岗交流力度。</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24.完</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善干部素质培养体系，强化干部教育培训。</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完善干部管理体系，加强考核与监督，强化考核结果的分析运用，建立健全激励机制和容错纠错机制。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26.强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化政治监督，做实日常监督，贯通融合纪律监督、巡察监督、审计监督，督促职能部门强化职能监督，推动二级纪检机构做实基层监督，构建全面覆盖、权威高效的监督体系。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纪委办公室、监察处、党委巡察办公室、审计处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27.完</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善巡察监督制度体系和成果运用长效机制，充分发挥巡察综合监督平台作用，建立健全巡察与其他监督的统筹衔接制度和协调作用机制，推动形成上下联动、各种监督有效贯通的巡察格局。</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党委巡察办公室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28.构</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建大统战工作格局，调动党政、群团等各方积极性，加强党外代表人士队伍建设，搭建层次合理、分布均衡、衔接有序的党外人才梯队，形成做好新时代统战工作的强大合力。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党委统战部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29.加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强共青团的政治引领，更好团结凝聚广大青年团员听党话、跟党走。</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团委</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充分发挥党组织在离退休工作中的作用，更好地发挥关工委作用，为老干部、老同志老有所为搭建平台。</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离退休工作处、关心下一代工作委员会</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31.推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进工会、妇委会工作创新，不断夯实教代会民主政治建设。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工会、妇委会</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32.落</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实落细党的群众工作政策，提升教职工和离退休老同志的幸福感、获得感、归属感。</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工会、离退休工作处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大学治理</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19</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1.修</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订《东北师范大学章程》，以章程为核心加快构建系统完备现代化的学校制度框架，推动校内规章制度更新制度化、常态化。</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发展规划处、学校办公室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深化新时代教育评价改革为契机，不断完善科学评价体系，开展教育评价改革试点工作，以改进学校评价、教师评价、学生评价为重点，加快构建符合师范院校实际、凸显教师教育特色的评价体系。建立突出中长期目标导向、注重履责绩效和实际贡献的教职工聘期评价制度。</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r>
              <w:rPr>
                <w:rFonts w:hint="eastAsia" w:ascii="仿宋_GB2312" w:hAnsi="仿宋_GB2312" w:eastAsia="仿宋_GB2312" w:cs="仿宋_GB2312"/>
                <w:i w:val="0"/>
                <w:iCs w:val="0"/>
                <w:color w:val="000000" w:themeColor="text1"/>
                <w:spacing w:val="-17"/>
                <w:kern w:val="0"/>
                <w:sz w:val="24"/>
                <w:szCs w:val="24"/>
                <w:highlight w:val="none"/>
                <w:u w:val="none"/>
                <w:lang w:val="en-US" w:eastAsia="zh-CN" w:bidi="ar"/>
                <w14:textFill>
                  <w14:solidFill>
                    <w14:schemeClr w14:val="tx1"/>
                  </w14:solidFill>
                </w14:textFill>
              </w:rPr>
              <w:t>教务处、研究生院、党委学生工作部、人事处、</w:t>
            </w:r>
            <w:r>
              <w:rPr>
                <w:rFonts w:hint="eastAsia" w:ascii="仿宋_GB2312" w:hAnsi="仿宋_GB2312" w:eastAsia="仿宋_GB2312" w:cs="仿宋_GB2312"/>
                <w:i w:val="0"/>
                <w:iCs w:val="0"/>
                <w:color w:val="000000" w:themeColor="text1"/>
                <w:spacing w:val="-11"/>
                <w:kern w:val="0"/>
                <w:sz w:val="24"/>
                <w:szCs w:val="24"/>
                <w:highlight w:val="none"/>
                <w:u w:val="none"/>
                <w:lang w:val="en-US" w:eastAsia="zh-CN" w:bidi="ar"/>
                <w14:textFill>
                  <w14:solidFill>
                    <w14:schemeClr w14:val="tx1"/>
                  </w14:solidFill>
                </w14:textFill>
              </w:rPr>
              <w:t>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健全科学民主决策机制，进一步落实校务、院务公开制度，强化领导干部法治思维，强化依法决策的执行与监督。</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全学术治理体系，完善《东北师范大学学术委员会章程》《东北师范大学教授委员会章程》，充分体现学科带头人学术决策作用。</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社会科学处、科学技术处、人事处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动学校专项组织规范化建设，强化专项组织的规划、评价、监督和咨询作用。</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发展规划处、学校办公室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完善法律服务体系，建立合同管理工作的信息化、网络化平台，加强法律风险防控。</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全权利救济和纠纷解决机制，维护师生合法权益。</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人事处、学校办公室、工会、纪委办公室、监察处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强化学生和教师的宪法学习、法治思维的宣传教育，培育校园法治文化。</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学校办公室、人事处、党委学生工作部、党委宣传部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化学校规划监管，坚决落实党委领导下的校长负责制，加强事前规划引导、事中事后监管。</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全校职能部门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立民主管理和监督机制，保障广大师生的知情权、参与权和监督权。</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工会、团委</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w:t>
            </w:r>
            <w:bookmarkStart w:id="2" w:name="OLE_LINK3"/>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学院统筹推进，完善由学科带头人组成的教授委员会，明晰党政联席会和教授委员会的行政与治学职责分工，统筹负责学院发展规划、教学改革、科研协同、队伍建设、社会服务和资源共享等，推动学院整体发展。</w:t>
            </w:r>
            <w:bookmarkEnd w:id="2"/>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党委组织部、人事处、发展规划处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学科自主发展，实行权责统一的一级学科（交叉学科）和二级学科方向学科带头人负责制，自主负责“人才培养、科学研究、团队建设”三位一体的学科建设，逐步推行按学科配置编制岗位、生源指标、经费设备等办学资源制度，完善学校、学院、学科资源分担机制，以主体性激发学科谋发展的主动性、积极性和创造性。</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放管服”改革为引领，深化管理机构改革，推动机关部门转职能、转方式、转作风，实现管理重心下移，强化规划、指导、监管等深层次服务；组织开展新一轮机构编制核定工作，研究制定机构编制管理办法，进一步规范机构设置、职能调整、人员编制、领导职数和岗位职责配备的工作程序，优化调整学校内设机构布局，盘活机构编制资源，建立运转顺畅、协同高效的内部治理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发展规划处、人事处(全校其他部门协同）</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14.完</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善内控机制，围绕重点业务和关键领域，建立规则内嵌的内控信息化系统，加快推进财务、资产、招采、合同、人事等重要业务信息系统的对接，实现业务流、资金流、信息流等数据的融合共享。</w:t>
            </w:r>
          </w:p>
        </w:tc>
        <w:tc>
          <w:tcPr>
            <w:tcW w:w="2138" w:type="dxa"/>
            <w:vMerge w:val="restart"/>
            <w:vAlign w:val="center"/>
          </w:tcPr>
          <w:p>
            <w:pPr>
              <w:keepNext w:val="0"/>
              <w:keepLines w:val="0"/>
              <w:widowControl/>
              <w:suppressLineNumbers w:val="0"/>
              <w:jc w:val="both"/>
              <w:textAlignment w:val="center"/>
              <w:rPr>
                <w:rFonts w:hint="default"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学校办公室、信息化管理与规划办公室、</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财务处、资产与实验室管理处、政府采购与招标管理中心、人事处、基建处、后勤保障部、</w:t>
            </w:r>
            <w:r>
              <w:rPr>
                <w:rFonts w:hint="eastAsia" w:ascii="仿宋_GB2312" w:hAnsi="仿宋_GB2312" w:eastAsia="仿宋_GB2312" w:cs="仿宋_GB2312"/>
                <w:i w:val="0"/>
                <w:iCs w:val="0"/>
                <w:color w:val="000000" w:themeColor="text1"/>
                <w:spacing w:val="-6"/>
                <w:sz w:val="24"/>
                <w:szCs w:val="24"/>
                <w:highlight w:val="none"/>
                <w:u w:val="none"/>
                <w:lang w:val="en-US" w:eastAsia="zh-CN"/>
                <w14:textFill>
                  <w14:solidFill>
                    <w14:schemeClr w14:val="tx1"/>
                  </w14:solidFill>
                </w14:textFill>
              </w:rPr>
              <w:t>教育合作与管理处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15.全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方位加强省校、市校共建，提升服务国家区域战略需求能力。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16.</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建立理事会制度，完善社会支持和参与学校发展的组织形式和制度平台，调动多方力量与资源助力学校事业发展。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发展规划处、学校办公室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17.加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强与科研院所及行业企业的合作，依托“</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U-G-S</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U-G-E</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”模式广泛开展协同育人。</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科学技术处、社会科学处、教务处、研究生院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完善联系和服务校友机制，积极发挥校友在学校发展中的作用。</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校友工作办公室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19.引</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入第三方同行评价，构建社会高端智力资源参与学校治理机制，对学校各项事业特别是学科专业建设水平进行定期评估，健全评估反馈与质量改进机制。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国际交流与合作</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19</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以学校“教育对外开放工作领导小组”为依托，统筹推进全校对外开放工作，编制国际化建设总体方案，出台《东北师范大学对外开放工作实施意见》，确保教育对外开放工作安全有序。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以国家需求和“双一流”建设为导向，构建学科国际化发展的评价指标体系，建立国际化资源竞争与激励机制，激励学院、学科与境外高水平院校开展实质性合作，逐步形成各学院和各学科广泛深入参与的大外事工作格局。</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w:t>
            </w:r>
            <w:r>
              <w:rPr>
                <w:rStyle w:val="9"/>
                <w:rFonts w:hint="eastAsia" w:ascii="仿宋_GB2312" w:hAnsi="仿宋_GB2312" w:eastAsia="仿宋_GB2312" w:cs="仿宋_GB2312"/>
                <w:color w:val="000000" w:themeColor="text1"/>
                <w:sz w:val="24"/>
                <w:szCs w:val="24"/>
                <w:highlight w:val="none"/>
                <w:lang w:val="en-US" w:eastAsia="zh-CN" w:bidi="ar"/>
                <w14:textFill>
                  <w14:solidFill>
                    <w14:schemeClr w14:val="tx1"/>
                  </w14:solidFill>
                </w14:textFill>
              </w:rPr>
              <w:t>面对后疫情时代的国际形势，推动与国内外国际化程度较高大学和学科建立有效的“在地国际化”交流机制，实现国内国际双循环的国际化协作发展新模式。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4.充</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分利用国家的国际科技交流机制，汇集创新要素与优势资源，搭建深入而可持续的国际交流合作平台，立足长远规划做好前期培育，力争在国际化示范学院和国际联合实验室建设方面有所突破。</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5.充</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分利用国际产学研用合作论坛（吉林）和中韩（长春）国际合作示范区的载体优势，推动与国（境）外高等院校、科研单位、创新企业建立产学研用合作机制。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国际合作与交流处、教务处、研究生院、社会科学处、科学技术处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6.一流建设（培育）学科和优势特色学科开拓并深化与美国、日本、俄罗斯、德国、芬兰、</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加拿大等科教强国科研机构的合作，探索合作建立国际科技研发中心。</w:t>
            </w:r>
            <w:bookmarkStart w:id="3" w:name="_GoBack"/>
            <w:bookmarkEnd w:id="3"/>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积极支持学校骨干教师与海外知名学者联合申报科研合作项目，合作开展学科领域研究。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8.通</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过建设多元化的引智项目，加大引智奖励支持，完善引智管理机制和提升引智服务水平等举措，力争外籍教师数量比“十三五”末期翻一番，优化学科国际师资布局。</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国际合作与交流处、人事处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9.充</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分发挥高校学科创新引智基地和重点科研平台作用，引进国际高水平专家学者和团队。</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科学技术处、国际合作与交流处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10.创</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新外籍教师项目组织实施方式，推广线上线下相结合的授课与合作研究等智力引进模式，遴选优秀外籍教师纳入学校专任教师队伍。</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国际合作与交流处、人事处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完善教师出国（境）科研交流与合作、研修和培训支持保障体系，鼓励学校教学、科研和管理人员参与国际学术交流，提升教师队伍的国际化水平和国际学术对话能力。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国际合作与交流处、人事处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优秀师资海外引育计划，围绕一流学科建设的高层次人才需要，依托学校人才引育计划，积极构建海外人才招聘网络，建立具有国际竞争力的薪酬待遇体系和支持保障体系，完善绩效评价与激励机制，在全球范围内引进高层次人才和智力资源，大规模选派中青年骨干教师到海外一流学科留学，提升教师队伍的国际化水平。</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人事处、国际合作与交流处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构建国际科研交流平台，组织举办“教师教育国际学术论坛”“全球基础教育论坛”“国际产学研用合作会议”“第</w:t>
            </w:r>
            <w:r>
              <w:rPr>
                <w:rFonts w:hint="default" w:ascii="Times New Roman" w:hAnsi="Times New Roman" w:eastAsia="仿宋_GB2312" w:cs="Times New Roman"/>
                <w:i w:val="0"/>
                <w:iCs w:val="0"/>
                <w:color w:val="000000" w:themeColor="text1"/>
                <w:kern w:val="0"/>
                <w:sz w:val="24"/>
                <w:szCs w:val="24"/>
                <w:highlight w:val="none"/>
                <w:u w:val="none"/>
                <w:lang w:val="en-US" w:eastAsia="zh-CN" w:bidi="ar"/>
                <w14:textFill>
                  <w14:solidFill>
                    <w14:schemeClr w14:val="tx1"/>
                  </w14:solidFill>
                </w14:textFill>
              </w:rPr>
              <w:t>19</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届国际发光会议”“价值观教育国际学术会议”等国际学术活动。</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国际合作与交流处、社会科学处、科学技术处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14.实施优秀学生赴外拓展计划，进一步加大经费投入和资助力度，丰富项目形式，优化项目</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结构，提升项目层次，巩固与日本、韩国、欧美高校现有合作项目，加强与俄罗斯、新加坡等“一带一路”沿线国家及荷兰、芬兰等国家知名高校的学生交流，拓展海外研习基地建设，完善学分互认机制，加大经费投入，完善资助体系，将学生参与国（境）外学习纳入人才培养的重要环节</w:t>
            </w:r>
            <w:r>
              <w:rPr>
                <w:rFonts w:hint="default"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，积极选送优秀人才到国际组织实习、任职</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提升学生全球胜任力</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，培养学生成为具有国际视野、家国情怀的创新型人才。</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国际合作与交流处、教务处、研究生院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实施留学东师优质发展计划，拓宽国际学生招生渠道，提升生源质量，优化生源结构，学历留学生在全校国际学生总数中占比超</w:t>
            </w:r>
            <w:r>
              <w:rPr>
                <w:rFonts w:hint="default"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过</w:t>
            </w:r>
            <w:r>
              <w:rPr>
                <w:rStyle w:val="8"/>
                <w:rFonts w:hint="default" w:ascii="Times New Roman" w:hAnsi="Times New Roman" w:eastAsia="仿宋_GB2312" w:cs="Times New Roman"/>
                <w:color w:val="000000" w:themeColor="text1"/>
                <w:highlight w:val="none"/>
                <w:lang w:val="en-US" w:eastAsia="zh-CN" w:bidi="ar"/>
                <w14:textFill>
                  <w14:solidFill>
                    <w14:schemeClr w14:val="tx1"/>
                  </w14:solidFill>
                </w14:textFill>
              </w:rPr>
              <w:t>50%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；完善培养体系，推进各学院（部）国际课程建设，推进国际学生的趋同化培养与管理，实现统一的教学管理制度，实现由规模扩大向质量提升转变</w:t>
            </w:r>
            <w:r>
              <w:rPr>
                <w:rFonts w:hint="default"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与日本、韩国、蒙古及俄罗斯等“一带一路”沿线国家的教育合作与交流，促进教育、汉语言等专业国际学生的规模化培养。发挥学校来华留学生预科教育优势，打造“留学东师”品牌。完善国际学生奖、助学金支持体系，加大校园环境和住宿条件方面的投入，提升国际学生管理服务团队水平，激发学院和学科培养国际学生积极性。</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国际合作与交流处、教务处、研究生院、国际学术交流服务中心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16.加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强合作办学项目的规范化管理，聚焦高水平、高契合度的合作伙伴启动新的合作办学项目。</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17.发</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挥学校牵头的中蒙大学联盟作用，深度参与中俄教育类高校联盟、东盟教育培训中心、中国—中东欧高校联合会等国际组织，融入“一带一路”教育行动计划。</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18.加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强教育援外基地、孔子学院布局与建设，增设</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所孔子学院，积极服务“一带一路”沿线区域经济社会发展。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国际合作与交流处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19.强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化中国赴日本国留学生预备学校、教育部出国留学人员培训部等机构的培训水平和交流功能，更好服务于国家的国际化人才培养战略。</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中国赴日本国留学生预备学校</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智能教育</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17</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推动人工智能与教育教学深度融合，加快推动人才培养模式改革和教育教学方法创新，以“教”的变革带动“学”的变革，培养学生自主学习和终身学习能力，实现“学习的革命”。</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教务处、研究生院、信息化管理与规划办公室、图书馆</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实施师生信息素养提升工程，全面提升教师在信息化新形势下开展教学研的能力、学生自主学习和终身学习的能力。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教师教育研究院、教务处、研究生院、人事处、信息化管理与规划办公室、图书馆</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3.搭</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建未来智慧教育、在线教学资源运行与监控平台，建设虚拟教研室，引导教师开展网络协作学习、混合式教学和翻转课堂等教学实践。</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教务处、研究生院、信息化管理与规划办公室、图书馆</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4.设</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立“学在东师”自主学习空间，加快建设集注册、选课、教学、学习、资源、考试、评价、反馈和管理服务等教学全过程的“学在东师”智能化平台，全面支持线上教与学的实际需求，满足教师个性化、定制化的教学需求，支持学生自主式、探究式学习，实现“一人一空间”和“一课多师”，助力学生个性化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highlight w:val="none"/>
                <w:u w:val="none"/>
                <w:lang w:val="en-US" w:eastAsia="zh-CN"/>
                <w14:textFill>
                  <w14:solidFill>
                    <w14:schemeClr w14:val="tx1"/>
                  </w14:solidFill>
                </w14:textFill>
              </w:rPr>
              <w:t>教务处、研究</w:t>
            </w:r>
            <w:r>
              <w:rPr>
                <w:rFonts w:hint="eastAsia" w:ascii="仿宋_GB2312" w:hAnsi="仿宋_GB2312" w:eastAsia="仿宋_GB2312" w:cs="仿宋_GB2312"/>
                <w:i w:val="0"/>
                <w:iCs w:val="0"/>
                <w:color w:val="000000" w:themeColor="text1"/>
                <w:spacing w:val="-11"/>
                <w:sz w:val="24"/>
                <w:szCs w:val="24"/>
                <w:highlight w:val="none"/>
                <w:u w:val="none"/>
                <w:lang w:val="en-US" w:eastAsia="zh-CN"/>
                <w14:textFill>
                  <w14:solidFill>
                    <w14:schemeClr w14:val="tx1"/>
                  </w14:solidFill>
                </w14:textFill>
              </w:rPr>
              <w:t>生院</w:t>
            </w:r>
            <w:r>
              <w:rPr>
                <w:rFonts w:hint="eastAsia" w:ascii="仿宋_GB2312" w:hAnsi="仿宋_GB2312" w:eastAsia="仿宋_GB2312" w:cs="仿宋_GB2312"/>
                <w:i w:val="0"/>
                <w:iCs w:val="0"/>
                <w:color w:val="000000" w:themeColor="text1"/>
                <w:spacing w:val="-11"/>
                <w:kern w:val="0"/>
                <w:sz w:val="24"/>
                <w:szCs w:val="24"/>
                <w:highlight w:val="none"/>
                <w:u w:val="none"/>
                <w:lang w:val="en-US" w:eastAsia="zh-CN" w:bidi="ar"/>
                <w14:textFill>
                  <w14:solidFill>
                    <w14:schemeClr w14:val="tx1"/>
                  </w14:solidFill>
                </w14:textFill>
              </w:rPr>
              <w:t>、图书馆</w:t>
            </w:r>
            <w:r>
              <w:rPr>
                <w:rFonts w:hint="eastAsia" w:ascii="仿宋_GB2312" w:hAnsi="仿宋_GB2312" w:eastAsia="仿宋_GB2312" w:cs="仿宋_GB2312"/>
                <w:i w:val="0"/>
                <w:iCs w:val="0"/>
                <w:color w:val="000000" w:themeColor="text1"/>
                <w:spacing w:val="-11"/>
                <w:sz w:val="24"/>
                <w:szCs w:val="24"/>
                <w:highlight w:val="none"/>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pacing w:val="-11"/>
                <w:kern w:val="0"/>
                <w:sz w:val="24"/>
                <w:szCs w:val="24"/>
                <w:highlight w:val="none"/>
                <w:u w:val="none"/>
                <w:lang w:val="en-US" w:eastAsia="zh-CN" w:bidi="ar"/>
                <w14:textFill>
                  <w14:solidFill>
                    <w14:schemeClr w14:val="tx1"/>
                  </w14:solidFill>
                </w14:textFill>
              </w:rPr>
              <w:t>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探索“数据推动、基于实证”的五育评价、教学质量监控、学生学业预警和课堂质量评价等，支持过程性和个性化的教学评价。</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highlight w:val="none"/>
                <w:u w:val="none"/>
                <w:lang w:val="en-US" w:eastAsia="zh-CN"/>
                <w14:textFill>
                  <w14:solidFill>
                    <w14:schemeClr w14:val="tx1"/>
                  </w14:solidFill>
                </w14:textFill>
              </w:rPr>
              <w:t>教务处、研究生院、</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6.加强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数据治理的顶层设计，探索建立“统一规划、一体建构、整体推进、分工负责”的数据治理机制，实现数据“存、管、算、用”和数据安全的统筹规划与建设。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信息化管理与规划办公室（全校其他单位协同）</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施“校务数据治理专项计划”，加强数据分级分类管理，形成数据溯源图谱，实现“人财物”数据的集中存储、一数一源及充分共享。</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信息化管理与规划办公室（全校其他单位协同）</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施“东师智慧大脑”工程，深化数据应用建设，充分发挥数据资产的价值，推动科学决策、精准管理和个性服务。</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信息化管理与规划办公室（全校其他单位协同）</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高性能计算新平台建设计划，紧密结合学校一流学科建设和高水平科研需要，以“租建并行”的方式，整合现有资源，统筹建设具备一流水准的校级高性能计算平台，实现全校计算资源的统一调度、高度共享和有效保障，实现对各学科计算的深度支撑和服务。</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强信息化建设的组织领导和总体设计，以信息化支撑学校治理体系和治理能力现代化。</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通过数据互联互通、“大平台、微应用”和强化统筹管理，构建形成适应智能时代和复杂组织机构的东师信息化建设新模式，实现信息系统优化整合，一体化水平大幅提升。</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12.深</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入开展服务治理和业务流程优化，持续推进“一次办、马上办、网上办”的网上服务大厅建设，进一步提高服务效率和办事体验。</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开展资源利用的绩效分析，优化教学资源库、科研数据库、高性能计算建设，提高学科服务能力。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图书馆、信息化管理与规划办公室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14.</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探索物联网应用场景，提高智能化、精细化管理水平。</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利用信息化手段支撑“放管服”“管办评分离”和“内部控制”，初步形成现代化的管理与监测体系。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信息化管理与规划办公室（全校其他单位协同）</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16.抢</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占智能时代教育发展新机遇，加强智能教育学科专业建设，推动“智能</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”多学科交叉融合，服务引领智能化学习、交互式学习的新型教育体系建设。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发展规划处、教务处、研究生院、信息化管理与规划办公室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17.积</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极开发或参与在线学习教育平台、数字化特色课程等优质线上教育资源建设，建立以学习者为中心的教育环境，提供精准推送的教育服务，实现日常教育和终身教育定制化，引领智能时代教师教育和基础教育的改革创新。</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信息化管理与规划办公室、教务处、研究生院、</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职业与继续教育学院、图书馆</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06"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支撑保障</w:t>
            </w:r>
          </w:p>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8"/>
                <w:szCs w:val="28"/>
                <w:highlight w:val="none"/>
                <w:u w:val="none"/>
                <w:lang w:val="en-US" w:eastAsia="zh-CN" w:bidi="ar"/>
                <w14:textFill>
                  <w14:solidFill>
                    <w14:schemeClr w14:val="tx1"/>
                  </w14:solidFill>
                </w14:textFill>
              </w:rPr>
              <w:t>44</w:t>
            </w:r>
            <w:r>
              <w:rPr>
                <w:rFonts w:hint="eastAsia" w:ascii="黑体" w:hAnsi="黑体" w:eastAsia="黑体" w:cs="黑体"/>
                <w:b/>
                <w:bCs/>
                <w:i w:val="0"/>
                <w:iCs w:val="0"/>
                <w:color w:val="000000" w:themeColor="text1"/>
                <w:kern w:val="0"/>
                <w:sz w:val="28"/>
                <w:szCs w:val="28"/>
                <w:highlight w:val="none"/>
                <w:u w:val="none"/>
                <w:lang w:val="en-US" w:eastAsia="zh-CN" w:bidi="ar"/>
                <w14:textFill>
                  <w14:solidFill>
                    <w14:schemeClr w14:val="tx1"/>
                  </w14:solidFill>
                </w14:textFill>
              </w:rPr>
              <w:t>项</w:t>
            </w:r>
            <w:r>
              <w:rPr>
                <w:rFonts w:hint="eastAsia" w:ascii="微软雅黑" w:hAnsi="微软雅黑" w:eastAsia="微软雅黑" w:cs="微软雅黑"/>
                <w:b/>
                <w:bCs/>
                <w:i w:val="0"/>
                <w:iCs w:val="0"/>
                <w:color w:val="000000" w:themeColor="text1"/>
                <w:kern w:val="0"/>
                <w:sz w:val="28"/>
                <w:szCs w:val="28"/>
                <w:highlight w:val="none"/>
                <w:u w:val="none"/>
                <w:lang w:val="en-US" w:eastAsia="zh-CN" w:bidi="ar"/>
                <w14:textFill>
                  <w14:solidFill>
                    <w14:schemeClr w14:val="tx1"/>
                  </w14:solidFill>
                </w14:textFill>
              </w:rPr>
              <w:t>︶</w:t>
            </w: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1.进</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一步深化省部共建、市校共建，加强与地方政府和行业企业、社会组织的战略合作，加大成果转化、社会捐赠、服务基础教育、终身教育等方面的开源力度，不断完善以政府投入为主的多渠道经费筹措机制。</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财务处、学校办公室、科学技术处、校友工作办公室、</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教育合作与管理处、职业与继续教育学院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强学校预算统筹，优化各类资源配置，量入为出，保证重点。</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财务处、发展规划处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深化预算绩效管理，完善绩效评价机制，推进成本核算体系，提高经费使用效益。</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财务处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4.强</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化预算绩效管理过程和效果的审计监督。</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审计处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5.不</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断完善业务流程，增强风险防控能力，推进部门间财务信息互联共享，不断增强学校财政保障能力。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财务处、信息化管理与规划办公室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6.</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构建“科学配置、使用高效、安全完整、保值增值”的国有资产管理体系，着力提升学校资产配置的科学性和使用的效益性。</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资产与实验室管理处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7.实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公共资源共享升级计划，按照“需求导向、多元共建、智能共享、效能管理”的原则，构建教室、大型仪器设备等公共资源开放共享服务体系，围绕学校、学院、学科构建多层级、跨机构的公共资源集成管理模式，推动公共资源有效供给，破解公共资源条块分割、多头管理、效率低下等问题。</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教务处、研究生院、</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科学技术处、资产与实验室管理处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8.完</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善资产验收、登记、使用、绩效、处置全生命周期的管理流程。</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资产与实验室管理处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Times New Roman" w:hAnsi="Times New Roman" w:eastAsia="仿宋_GB2312" w:cs="Times New Roman"/>
                <w:color w:val="000000" w:themeColor="text1"/>
                <w:kern w:val="2"/>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9.深化公用房管理改革，实现各类用房的科学配置和高效使用。</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资产与实验室管理处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10.加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强无形资产统筹管理及开发利用，建立健全专项管理制度，提高无形资产使用的经济与社会效益。</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资产与实验室管理处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11.推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进资产管理数据平台建设。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资产与实验室管理处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深化学校所属企业体制改革，彻底完成企业清理关闭和脱钩剥离任务，将保留管理企业纳入统一监管平台，确保企业国有资产保值增值。</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资产经营有限公司</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加强学校党委对内部审计工作的领导，构建与大学治理体系和治理能力现代化相适应的审计监督体系。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审计处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14.坚</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持和落实党中央关于审计工作重大决策部署的工作机制更加完善，确保把党的领导落实到审计工作全过程的制度更加健全。</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审计处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15.促</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进审计监督效能明显提升，突出防治并重，坚持全面覆盖与重点审计相结合，坚持揭示问题与推动解决问题相统一，实现发现问题、分析问题、促进解决问题、推进完善制度机制的闭环管理，促使审计结果运用的贯通机制更为有效。</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审计处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16.促</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进审计专业化水平明显提升，加强审计队伍建设，践行科技强审理念，加快审计信息化建设。</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审计处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17.深</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化后勤社会化改革，有序扩大服务外包项目比重，健全后勤市场准入退出机制、全过程监管制度和安全防控体系。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后勤保障部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18.贯</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彻可持续发展理念，切实推动减污降碳、节能降耗，降低办学成本，建设资源节约、环境友好、生态良性循环的绿色校园。</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后勤保障部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19.加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快推进智能化平台、信息化产品、现代化设备的应用，推动后勤管理理念与管理模式创新，探索数字三维虚拟校园管理系统和数字化识别系统，建设全面感知、智能协同的后勤综合管理服务平台。</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后勤保障部、信息化管理与规划办公室、资产与实验室管理处、保卫处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委托专业机构编制校园规划，全面梳理校园基本建设数据和空间资源，以净月实验校迁出为契机，优化两校区空间布局。</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发展规划处、资产与实验室管理处、基建处、学生处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开展本部校区博士生公寓、净月校区学生宿舍、美育中心等基本建设项目。</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发展规划处、基建处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22.做</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好深圳研究院、中韩（长春）国际合作示范区、长春国际影都等办学项目的建设和运行。</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学校办公室、发展规划处、教务处、社会科学处、科学技</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术处、研究生院、人事处、深圳研究院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认真贯彻落实“总体国家安全观”，统筹学校发展和师生安全需要，扎实推动平安校园建设，落实安全主体责任，建立全员安全责任体系，提升校园安全管理水平。</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保卫处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24.</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完善重大突发事件应对预警和应急预案，建立健全高校政治安全、意识形态安全和生命财产安全等各类安全风险的辨识、预警和管控制度，实现校园安全隐患排查整治闭环管理。</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学校办公室、保卫处、党委宣传部、后勤保障部、资产与实验室管理处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强化人防、物防、技防“三位一体”的综合防范体系，积极构建校园政保、消防、治安、交通和周边秩序等多维一体智能化管理格局。</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保卫处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26.健</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全实验室安全责任体系和管理制度，重点加强对实验室生物、化学品的监管，规范实验室废弃物的分类与处置。</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资产与实验室管理处、后勤保障部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27.</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加强网络信息安全防护，落实网络信息安全责任制，加强网站和应用系统备案管理。</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信息化管理与规划办公室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tabs>
                <w:tab w:val="left" w:pos="2055"/>
              </w:tabs>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深入落实“放管服”要求，构建依法合规、运转高效、风险可控、问责严格的采购招标管控体系。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政府采购与招标管理中心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29.完</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善学校采购制度，进一步简化科研仪器设备尤其是科研急需设备、耗材的采购流程。</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政府采购与招标管理中心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健全采购监管机制，加强风险防控管理。</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政府采购与招标管理中心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31.</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紧跟深化政府采购改革步伐，构建“互联网</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”的政府采购管理新模式，推进采购工作全周期信息化转型，保证规范、透明、便捷、高效。</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政府采购与招标管理中心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32.创</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新校友工作机制，构建校院两级工作体系和校友网络。</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校友工作办公室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33.加</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强基层校友组织建设，完成省会城市校友会布局，逐步推进境外、海外校友会发展。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校友工作办公室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34.深</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入开展地方校友会“</w:t>
            </w: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3+X</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”工作模式，推进校友组织规范化建设，不断提高组织活力。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校友工作办公室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35.</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加强校友联系与服务，加强数字化建设，构建服务体系，营造全员参与的工作氛围，培育特色鲜明的东师校友文化，全面促进学校的建设与校友的发展。</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校友工作办公室</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36.全</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面加快一流大学图书馆建设，建立以“学习、学术、学生”为中心的新型智慧图书馆，打造一流的资源信息中心、自主学习中心、知识服务中心和学科情报中心。</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图书馆</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37.实</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施智慧学习空间升级计划，打造“人人乐学、处处能学、时时可学、自助开放”的智慧学习生活环境；建设“智慧图书馆”，部署“下一代图书馆服务平台”，围绕资源流、情报流、服务流构建智慧图书馆生态；打造“智慧实验室”，建设涵盖教学管理、设备管理、环境监测、安全预警、开放预约、信息发布、人机互动等在内的智慧平台。</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信息化管理与规划办公室、图书馆、资产与实验室管理处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38.</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加强大数据时代档案信息化建设，打造数字档案馆，健全档案信息服务体系和档案信息资源保障体系。</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档案馆</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39.</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不断完善自然博物馆、东北民族民俗博物馆建设，强化文化育人功能和服务文化传承的能力。</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自然博物馆、东北民族民俗博物馆</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40.</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坚持把师生健康摆在重要位置，改善医疗保健条件，加快构建后疫情时代公共卫生防疫体系，提升突发公共卫生事件应急处置水平，为师生和社区提供优质医疗服务。</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校医院</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41.充分发挥体育专业优势，积极组建师生体育俱乐部，高效利用学校体育场馆，广泛开展公</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共体育活动，不断提升师生身体素质。</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体育工作委员会、</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综合体育馆管理中心</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42.</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加强健康教育，重视精神卫生和心理健康。</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学生处</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t>43.</w:t>
            </w: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深入开展爱国卫生运动，促进师生养成文明健康生活方式。</w:t>
            </w:r>
          </w:p>
        </w:tc>
        <w:tc>
          <w:tcPr>
            <w:tcW w:w="2138" w:type="dxa"/>
            <w:vMerge w:val="restart"/>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后勤保障部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706" w:type="dxa"/>
            <w:vMerge w:val="continue"/>
            <w:vAlign w:val="center"/>
          </w:tcPr>
          <w:p>
            <w:pPr>
              <w:keepNext w:val="0"/>
              <w:keepLines w:val="0"/>
              <w:widowControl/>
              <w:suppressLineNumbers w:val="0"/>
              <w:jc w:val="center"/>
              <w:textAlignment w:val="center"/>
              <w:rPr>
                <w:rStyle w:val="8"/>
                <w:rFonts w:hint="eastAsia" w:ascii="Times New Roman" w:hAnsi="Times New Roman" w:eastAsia="仿宋_GB2312" w:cs="Times New Roman"/>
                <w:color w:val="000000" w:themeColor="text1"/>
                <w:highlight w:val="none"/>
                <w:lang w:val="en-US" w:eastAsia="zh-CN" w:bidi="ar"/>
                <w14:textFill>
                  <w14:solidFill>
                    <w14:schemeClr w14:val="tx1"/>
                  </w14:solidFill>
                </w14:textFill>
              </w:rPr>
            </w:pPr>
          </w:p>
        </w:tc>
        <w:tc>
          <w:tcPr>
            <w:tcW w:w="4962" w:type="dxa"/>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4"/>
                <w:szCs w:val="24"/>
                <w:highlight w:val="none"/>
                <w:u w:val="none"/>
                <w:lang w:val="en-US" w:eastAsia="zh-CN" w:bidi="ar"/>
                <w14:textFill>
                  <w14:solidFill>
                    <w14:schemeClr w14:val="tx1"/>
                  </w14:solidFill>
                </w14:textFill>
              </w:rPr>
              <w:t>44.</w:t>
            </w:r>
            <w:r>
              <w:rPr>
                <w:rFonts w:hint="eastAsia" w:ascii="仿宋_GB2312" w:hAnsi="仿宋_GB2312" w:eastAsia="仿宋_GB2312" w:cs="仿宋_GB2312"/>
                <w:i w:val="0"/>
                <w:iCs w:val="0"/>
                <w:color w:val="000000" w:themeColor="text1"/>
                <w:spacing w:val="-6"/>
                <w:kern w:val="0"/>
                <w:sz w:val="24"/>
                <w:szCs w:val="24"/>
                <w:highlight w:val="none"/>
                <w:u w:val="none"/>
                <w:lang w:val="en-US" w:eastAsia="zh-CN" w:bidi="ar"/>
                <w14:textFill>
                  <w14:solidFill>
                    <w14:schemeClr w14:val="tx1"/>
                  </w14:solidFill>
                </w14:textFill>
              </w:rPr>
              <w:t>实施学生社区管理升级计划，以学生宿舍园区为主要阵地，打造学习型、服务型、成长型的“一站式”学生社区，开展学生社区“网格化”管理，设置“党员之家”“学习空间”“谈心谈话室”“特护学生室”“美育空间”“生活服务支持中心”等，打造富有中国特色、体现思政要求、贴近学生实际的生活园区，推动形成全员全程全方位育人格局。</w:t>
            </w:r>
          </w:p>
        </w:tc>
        <w:tc>
          <w:tcPr>
            <w:tcW w:w="2138"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党委学生工作部、后勤保障部</w:t>
            </w:r>
          </w:p>
        </w:tc>
        <w:tc>
          <w:tcPr>
            <w:tcW w:w="6256" w:type="dxa"/>
            <w:tcBorders/>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已完成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正在推进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未启动</w:t>
            </w:r>
          </w:p>
        </w:tc>
      </w:tr>
    </w:tbl>
    <w:p>
      <w:pPr>
        <w:rPr>
          <w:rFonts w:hint="eastAsia"/>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4081780</wp:posOffset>
              </wp:positionH>
              <wp:positionV relativeFrom="paragraph">
                <wp:posOffset>-149860</wp:posOffset>
              </wp:positionV>
              <wp:extent cx="857885" cy="2959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7885" cy="295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1.4pt;margin-top:-11.8pt;height:23.3pt;width:67.55pt;mso-position-horizontal-relative:margin;z-index:251659264;mso-width-relative:page;mso-height-relative:page;" filled="f" stroked="f" coordsize="21600,21600" o:gfxdata="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eUZ2bZAAAACgEAAA8AAAAAAAAAAQAgAAAAIgAAAGRycy9kb3du&#10;cmV2LnhtbFBLAQIUABQAAAAIAIdO4kAChECzNwIAAGEEAAAOAAAAAAAAAAEAIAAAACgBAABkcnMv&#10;ZTJvRG9jLnhtbFBLBQYAAAAABgAGAFkBAADRBQAAAAA=&#10;">
              <v:fill on="f" focussize="0,0"/>
              <v:stroke on="f" weight="0.5pt"/>
              <v:imagedata o:title=""/>
              <o:lock v:ext="edit" aspectratio="f"/>
              <v:textbox inset="0mm,0mm,0mm,0mm">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F4ED9"/>
    <w:multiLevelType w:val="singleLevel"/>
    <w:tmpl w:val="B3FF4ED9"/>
    <w:lvl w:ilvl="0" w:tentative="0">
      <w:start w:val="4"/>
      <w:numFmt w:val="decimal"/>
      <w:lvlText w:val="%1."/>
      <w:lvlJc w:val="left"/>
      <w:pPr>
        <w:tabs>
          <w:tab w:val="left" w:pos="312"/>
        </w:tabs>
      </w:pPr>
    </w:lvl>
  </w:abstractNum>
  <w:abstractNum w:abstractNumId="1">
    <w:nsid w:val="BC16545A"/>
    <w:multiLevelType w:val="singleLevel"/>
    <w:tmpl w:val="BC16545A"/>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TM5MzNiYjJjZTBmYWM3ODRkMThiZjNkOTkzZWYifQ=="/>
    <w:docVar w:name="KSO_WPS_MARK_KEY" w:val="f35a12a6-2881-494c-ade6-079013ac0952"/>
  </w:docVars>
  <w:rsids>
    <w:rsidRoot w:val="00000000"/>
    <w:rsid w:val="007C2CDB"/>
    <w:rsid w:val="03237155"/>
    <w:rsid w:val="038029AF"/>
    <w:rsid w:val="04251A8C"/>
    <w:rsid w:val="04AB649F"/>
    <w:rsid w:val="05EF3F4F"/>
    <w:rsid w:val="086329D2"/>
    <w:rsid w:val="08A41020"/>
    <w:rsid w:val="0A1F2191"/>
    <w:rsid w:val="0AC105A6"/>
    <w:rsid w:val="0FBA55CD"/>
    <w:rsid w:val="0FF54858"/>
    <w:rsid w:val="10130B2C"/>
    <w:rsid w:val="13252E99"/>
    <w:rsid w:val="13AC5B97"/>
    <w:rsid w:val="147F7C89"/>
    <w:rsid w:val="1AE23C2A"/>
    <w:rsid w:val="20D234E6"/>
    <w:rsid w:val="21141C1A"/>
    <w:rsid w:val="21D12EE6"/>
    <w:rsid w:val="233A2855"/>
    <w:rsid w:val="24252129"/>
    <w:rsid w:val="24CF5954"/>
    <w:rsid w:val="28F6721F"/>
    <w:rsid w:val="2B5E1A1F"/>
    <w:rsid w:val="2C32224A"/>
    <w:rsid w:val="2C85009E"/>
    <w:rsid w:val="2CA8783B"/>
    <w:rsid w:val="2FC040E2"/>
    <w:rsid w:val="2FEA115F"/>
    <w:rsid w:val="2FFE4C0B"/>
    <w:rsid w:val="325E1AF6"/>
    <w:rsid w:val="340C3D9A"/>
    <w:rsid w:val="363B0967"/>
    <w:rsid w:val="3768578B"/>
    <w:rsid w:val="37BA58BB"/>
    <w:rsid w:val="39484047"/>
    <w:rsid w:val="39A84565"/>
    <w:rsid w:val="3D000214"/>
    <w:rsid w:val="3DD57FBA"/>
    <w:rsid w:val="3E246184"/>
    <w:rsid w:val="3E2559A4"/>
    <w:rsid w:val="40161AFD"/>
    <w:rsid w:val="42350960"/>
    <w:rsid w:val="43C27FD1"/>
    <w:rsid w:val="443F7874"/>
    <w:rsid w:val="445C5218"/>
    <w:rsid w:val="487E46E3"/>
    <w:rsid w:val="4CD3324F"/>
    <w:rsid w:val="4D5438C5"/>
    <w:rsid w:val="4EDD6563"/>
    <w:rsid w:val="500C60D0"/>
    <w:rsid w:val="52C477F4"/>
    <w:rsid w:val="538A6632"/>
    <w:rsid w:val="55BB2AD2"/>
    <w:rsid w:val="56220DA3"/>
    <w:rsid w:val="57561F29"/>
    <w:rsid w:val="5A0802B0"/>
    <w:rsid w:val="5AE1122D"/>
    <w:rsid w:val="5EA54320"/>
    <w:rsid w:val="5EA85541"/>
    <w:rsid w:val="633045CF"/>
    <w:rsid w:val="64CA4AE0"/>
    <w:rsid w:val="65943DCC"/>
    <w:rsid w:val="670C5884"/>
    <w:rsid w:val="6853124F"/>
    <w:rsid w:val="6A892D47"/>
    <w:rsid w:val="6C6E0447"/>
    <w:rsid w:val="70C44AD9"/>
    <w:rsid w:val="722A4E10"/>
    <w:rsid w:val="72A378D8"/>
    <w:rsid w:val="73E65A38"/>
    <w:rsid w:val="748E206D"/>
    <w:rsid w:val="75BF4D92"/>
    <w:rsid w:val="7A37631C"/>
    <w:rsid w:val="7A392094"/>
    <w:rsid w:val="7AE855FB"/>
    <w:rsid w:val="7C943EFA"/>
    <w:rsid w:val="7F42716B"/>
    <w:rsid w:val="7F5578B1"/>
    <w:rsid w:val="7FEB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61"/>
    <w:basedOn w:val="7"/>
    <w:qFormat/>
    <w:uiPriority w:val="0"/>
    <w:rPr>
      <w:rFonts w:hint="eastAsia" w:ascii="楷体_GB2312" w:eastAsia="楷体_GB2312" w:cs="楷体_GB2312"/>
      <w:color w:val="000000"/>
      <w:sz w:val="24"/>
      <w:szCs w:val="24"/>
      <w:u w:val="none"/>
    </w:rPr>
  </w:style>
  <w:style w:type="character" w:customStyle="1" w:styleId="9">
    <w:name w:val="font121"/>
    <w:basedOn w:val="7"/>
    <w:qFormat/>
    <w:uiPriority w:val="0"/>
    <w:rPr>
      <w:rFonts w:hint="eastAsia" w:ascii="楷体_GB2312" w:eastAsia="楷体_GB2312" w:cs="楷体_GB2312"/>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34575</Words>
  <Characters>35076</Characters>
  <Lines>0</Lines>
  <Paragraphs>0</Paragraphs>
  <TotalTime>37</TotalTime>
  <ScaleCrop>false</ScaleCrop>
  <LinksUpToDate>false</LinksUpToDate>
  <CharactersWithSpaces>39447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2023-02-24T02:26:00Z</dcterms:created>
  <dc:creator>PC</dc:creator>
  <cp:lastModifiedBy>锐宝</cp:lastModifiedBy>
  <cp:lastPrinted>2023-11-07T07:25:28Z</cp:lastPrinted>
  <dcterms:modified xsi:type="dcterms:W3CDTF">2023-11-07T07:29:37Z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5FFD44E17A0244979C73368E6A20D8E6</vt:lpwstr>
  </property>
</Properties>
</file>